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42826" w14:paraId="4BE2D1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CAD8CC" w14:textId="77777777" w:rsidR="00142826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2EBD1F8" w14:textId="77777777" w:rsidR="00142826" w:rsidRDefault="00000000">
            <w:pPr>
              <w:spacing w:after="0" w:line="240" w:lineRule="auto"/>
            </w:pPr>
            <w:r>
              <w:t>7712</w:t>
            </w:r>
          </w:p>
        </w:tc>
      </w:tr>
      <w:tr w:rsidR="00142826" w:rsidRPr="00941E55" w14:paraId="14B644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9EA7E8" w14:textId="77777777" w:rsidR="00142826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C9C56AE" w14:textId="77777777" w:rsidR="00142826" w:rsidRPr="00941E55" w:rsidRDefault="00000000">
            <w:pPr>
              <w:spacing w:after="0" w:line="240" w:lineRule="auto"/>
              <w:rPr>
                <w:lang w:val="it-IT"/>
              </w:rPr>
            </w:pPr>
            <w:r w:rsidRPr="00941E55">
              <w:rPr>
                <w:lang w:val="it-IT"/>
              </w:rPr>
              <w:t xml:space="preserve"> DOM ZA STARIJE OSOBE NOVIGRAD - CASA PER ANZIANI CITTANOVA</w:t>
            </w:r>
          </w:p>
        </w:tc>
      </w:tr>
      <w:tr w:rsidR="00142826" w14:paraId="76B629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6FB780" w14:textId="77777777" w:rsidR="0014282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BDF75C6" w14:textId="77777777" w:rsidR="0014282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56A090C" w14:textId="77777777" w:rsidR="00142826" w:rsidRDefault="00000000">
      <w:r>
        <w:br/>
      </w:r>
    </w:p>
    <w:p w14:paraId="0FE9EF8C" w14:textId="77777777" w:rsidR="0014282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978DB3" w14:textId="77777777" w:rsidR="0014282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D23DC92" w14:textId="77777777" w:rsidR="0014282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D1D75B" w14:textId="77777777" w:rsidR="00142826" w:rsidRDefault="00142826"/>
    <w:p w14:paraId="043FA3E4" w14:textId="77777777" w:rsidR="00142826" w:rsidRPr="00941E55" w:rsidRDefault="00000000">
      <w:pPr>
        <w:keepNext/>
        <w:spacing w:line="240" w:lineRule="auto"/>
        <w:jc w:val="center"/>
        <w:rPr>
          <w:lang w:val="it-IT"/>
        </w:rPr>
      </w:pPr>
      <w:r w:rsidRPr="00941E55">
        <w:rPr>
          <w:b/>
          <w:sz w:val="28"/>
          <w:lang w:val="it-IT"/>
        </w:rPr>
        <w:t>Izvještaj o prihodima i rashodima, primicima i izdacima</w:t>
      </w:r>
    </w:p>
    <w:p w14:paraId="187F0F8A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2538F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3CCF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B038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37682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64DF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9D66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3B0F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37C6F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DDC0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F8B2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A4C5C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01C3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2.279.868,25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67B8A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3.319.575,48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E1AC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  <w:tr w:rsidR="00142826" w14:paraId="489CE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F047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2C0A3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10C3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F70B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2.230.578,40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37C7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2.761.324,78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B8BBE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  <w:tr w:rsidR="00142826" w14:paraId="79E9F7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1B181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377A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2410B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63B1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49.289,85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65B3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558.250,70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72A9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1132,6</w:t>
            </w:r>
          </w:p>
        </w:tc>
      </w:tr>
      <w:tr w:rsidR="00142826" w14:paraId="531123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C24B0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83CB1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D3A73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83A33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D8A0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3E2D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2826" w14:paraId="0844BE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DDC33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157B13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F6CFB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4B44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59CA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533.727,20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792B9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730,0</w:t>
            </w:r>
          </w:p>
        </w:tc>
      </w:tr>
      <w:tr w:rsidR="00142826" w14:paraId="3F185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02DDE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C8AF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C2675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C329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73.111,68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DADC3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533.727,20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FE2B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730,0</w:t>
            </w:r>
          </w:p>
        </w:tc>
      </w:tr>
      <w:tr w:rsidR="00142826" w14:paraId="53FB1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46B9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12DAB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1C57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1905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A59B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025E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2826" w14:paraId="32990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5DF96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F6677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ACF6E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46D8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AA13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7BEA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2826" w14:paraId="3ECCFB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03EBF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F404D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ABC0C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CC936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006F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7275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42826" w14:paraId="2AD8FF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E7D8C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33BD3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b/>
                <w:sz w:val="18"/>
                <w:lang w:val="it-IT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AF0E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9CE2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6730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24.523,50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7AA9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1BDBADD" w14:textId="77777777" w:rsidR="00142826" w:rsidRDefault="00142826">
      <w:pPr>
        <w:spacing w:after="0"/>
      </w:pPr>
    </w:p>
    <w:p w14:paraId="46B69703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Tablica daje prikaz ostvarenih rezultata 2025. godine, koji su raspoređeni prema sljedećim izvorima:</w:t>
      </w:r>
    </w:p>
    <w:p w14:paraId="65CC290D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lastRenderedPageBreak/>
        <w:t>Izvor 1.1. Nenamjenski prihodi i primici</w:t>
      </w:r>
    </w:p>
    <w:p w14:paraId="644FC531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  (6) iznose 296.460,00 eura </w:t>
      </w:r>
    </w:p>
    <w:p w14:paraId="634CD11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 296.460,00 eura</w:t>
      </w:r>
    </w:p>
    <w:p w14:paraId="14FEA64B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1.1 je jednak nuli.</w:t>
      </w:r>
    </w:p>
    <w:p w14:paraId="083E488B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58719FF0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4.7 Prihodi za posebne namjene</w:t>
      </w:r>
    </w:p>
    <w:p w14:paraId="1A1190CF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  (6) iznose 1.202.437,87 eura </w:t>
      </w:r>
    </w:p>
    <w:p w14:paraId="2EED07C7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 1.120.564,72 eura</w:t>
      </w:r>
    </w:p>
    <w:p w14:paraId="56502812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6-3 iznosi 81.873,15 eura.</w:t>
      </w:r>
    </w:p>
    <w:p w14:paraId="5C1E1F04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0A98CC8D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od prodaje NI  (7) iznose 0 eura </w:t>
      </w:r>
    </w:p>
    <w:p w14:paraId="22EBE683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za nabavu NI  (4) iznose 57.349,65 eura</w:t>
      </w:r>
    </w:p>
    <w:p w14:paraId="4EF6E64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7-4 iznosi    -57.349,65 eura.</w:t>
      </w:r>
    </w:p>
    <w:p w14:paraId="70ED6F4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Ukupan rezultat za 2025. godinu po izvoru 4.7 Prihodi za posebne namjene iznosi 24.523,50 eura i koristit će se za djelomično pokriće prenesenog manjka po istom izvoru u iznosu od -26.223,44 eura.</w:t>
      </w:r>
    </w:p>
    <w:p w14:paraId="5FD32B8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43396BA7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4.8 Decentralizirana sredstva</w:t>
      </w:r>
    </w:p>
    <w:p w14:paraId="0CE3B372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  (6) iznose 773.362,55 eura </w:t>
      </w:r>
    </w:p>
    <w:p w14:paraId="1667E4B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 709.738,00 eura</w:t>
      </w:r>
    </w:p>
    <w:p w14:paraId="2ABE4B8D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6-3 iznosi   63.624,55 eura.</w:t>
      </w:r>
    </w:p>
    <w:p w14:paraId="6165187E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7E69836B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od prodaje NI  (7) iznose 0 eura </w:t>
      </w:r>
    </w:p>
    <w:p w14:paraId="30E3A46C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za nabavu NI  (4) iznose 63.624,55 eura</w:t>
      </w:r>
    </w:p>
    <w:p w14:paraId="28278326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7-4 iznosi    -63.624,55 eura.</w:t>
      </w:r>
    </w:p>
    <w:p w14:paraId="0EDF2053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4.8 je jednak nuli.</w:t>
      </w:r>
    </w:p>
    <w:p w14:paraId="20E7C9A0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772EBED0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5.3. Ministarstvo RMSOSP</w:t>
      </w:r>
    </w:p>
    <w:p w14:paraId="575B1A8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lastRenderedPageBreak/>
        <w:t>Prihodi poslovanja  (6) iznose 6.480,00 eura </w:t>
      </w:r>
    </w:p>
    <w:p w14:paraId="5D15E60A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 6.480,00 eura</w:t>
      </w:r>
    </w:p>
    <w:p w14:paraId="2C26F988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5.3 je jednak nuli.</w:t>
      </w:r>
    </w:p>
    <w:p w14:paraId="6E3F9F7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19D54F88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5.5 Pomoći</w:t>
      </w:r>
    </w:p>
    <w:p w14:paraId="2758C9FB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  (6) iznose 100.700,00 eura </w:t>
      </w:r>
    </w:p>
    <w:p w14:paraId="14497728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  30.700,00 eura</w:t>
      </w:r>
    </w:p>
    <w:p w14:paraId="616CEC42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6-3 iznosi  70.000,00 eura.</w:t>
      </w:r>
    </w:p>
    <w:p w14:paraId="2AB078B1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4F12FA8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od prodaje NI  (7) iznose 0 eura </w:t>
      </w:r>
    </w:p>
    <w:p w14:paraId="26224A9D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 xml:space="preserve">Rashodi za nabavu </w:t>
      </w:r>
      <w:proofErr w:type="gramStart"/>
      <w:r w:rsidRPr="00941E55">
        <w:rPr>
          <w:lang w:val="it-IT"/>
        </w:rPr>
        <w:t>NI  (</w:t>
      </w:r>
      <w:proofErr w:type="gramEnd"/>
      <w:r w:rsidRPr="00941E55">
        <w:rPr>
          <w:lang w:val="it-IT"/>
        </w:rPr>
        <w:t xml:space="preserve">4) </w:t>
      </w:r>
      <w:proofErr w:type="gramStart"/>
      <w:r w:rsidRPr="00941E55">
        <w:rPr>
          <w:lang w:val="it-IT"/>
        </w:rPr>
        <w:t>iznose</w:t>
      </w:r>
      <w:proofErr w:type="gramEnd"/>
      <w:r w:rsidRPr="00941E55">
        <w:rPr>
          <w:lang w:val="it-IT"/>
        </w:rPr>
        <w:t xml:space="preserve"> 70.000,00 eura</w:t>
      </w:r>
    </w:p>
    <w:p w14:paraId="0C9531A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7-4 iznosi    -70.000,00 eura.</w:t>
      </w:r>
    </w:p>
    <w:p w14:paraId="529E3ACA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5.5 je jednak nuli.</w:t>
      </w:r>
    </w:p>
    <w:p w14:paraId="1B424BE6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59667B56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6.2. Donacije</w:t>
      </w:r>
    </w:p>
    <w:p w14:paraId="4B9688B4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  (6) iznose 12.440,00 eura </w:t>
      </w:r>
    </w:p>
    <w:p w14:paraId="690741E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  0 eura</w:t>
      </w:r>
    </w:p>
    <w:p w14:paraId="5677EC98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6-3 iznosi  12.440,00 eura.</w:t>
      </w:r>
    </w:p>
    <w:p w14:paraId="51BC6D77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44C05DCC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od prodaje NI  (7) iznose 0 eura </w:t>
      </w:r>
    </w:p>
    <w:p w14:paraId="22DB46B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za nabavu NI  (4) iznose 12.440,00 eura</w:t>
      </w:r>
    </w:p>
    <w:p w14:paraId="5134614C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7-4 iznosi    -12.440,00 eura.</w:t>
      </w:r>
    </w:p>
    <w:p w14:paraId="61858EC1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6.2 je jednak nuli.</w:t>
      </w:r>
    </w:p>
    <w:p w14:paraId="5BC25C67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4A5FB089" w14:textId="77777777" w:rsidR="00142826" w:rsidRPr="00941E55" w:rsidRDefault="00000000">
      <w:pPr>
        <w:rPr>
          <w:lang w:val="it-IT"/>
        </w:rPr>
      </w:pPr>
      <w:r w:rsidRPr="00941E55">
        <w:rPr>
          <w:b/>
          <w:i/>
          <w:lang w:val="it-IT"/>
        </w:rPr>
        <w:t>Izvor 9.1 Višak IŽ</w:t>
      </w:r>
    </w:p>
    <w:p w14:paraId="54045ECC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poslovanja  (6) iznose 927.695,06 eura </w:t>
      </w:r>
    </w:p>
    <w:p w14:paraId="46B58895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poslovanja (3) iznose 597.382,06 eura</w:t>
      </w:r>
    </w:p>
    <w:p w14:paraId="3D45991E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lastRenderedPageBreak/>
        <w:t>Rezultat poslovanja 6-3 iznosi 330.313,00 eura.</w:t>
      </w:r>
    </w:p>
    <w:p w14:paraId="320FD756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24C4C401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Prihodi od prodaje NI  (7) iznose 0 eura </w:t>
      </w:r>
    </w:p>
    <w:p w14:paraId="2BA011F6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Rashodi za nabavu NI  (4) iznose 330.313,00 eura</w:t>
      </w:r>
    </w:p>
    <w:p w14:paraId="36DDDBAA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7-4 iznosi    -330.313,00 eura.</w:t>
      </w:r>
    </w:p>
    <w:p w14:paraId="7840E5AA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Rezultat poslovanja po izvoru 9.1 je jednak nuli.</w:t>
      </w:r>
    </w:p>
    <w:p w14:paraId="6CB7B3F3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5E7F6198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Dom za starije osobe Novigrad u 2025. godini nije imao primitke ni izdatke za financijsku imovinu.</w:t>
      </w:r>
    </w:p>
    <w:p w14:paraId="57CFE8D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5E24A47F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 </w:t>
      </w:r>
    </w:p>
    <w:p w14:paraId="3EC789E8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br/>
      </w:r>
    </w:p>
    <w:p w14:paraId="08026718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4F77A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9C71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72F6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2FDF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54A9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A56B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EAE7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68228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FD635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97802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DCCE1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999C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DFA9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2E6F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220,3</w:t>
            </w:r>
          </w:p>
        </w:tc>
      </w:tr>
    </w:tbl>
    <w:p w14:paraId="1013771D" w14:textId="77777777" w:rsidR="00142826" w:rsidRDefault="00142826">
      <w:pPr>
        <w:spacing w:after="0"/>
      </w:pPr>
    </w:p>
    <w:p w14:paraId="55CD57B8" w14:textId="77777777" w:rsidR="00142826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Dom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Novigrad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i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adaptacije</w:t>
      </w:r>
      <w:proofErr w:type="spellEnd"/>
      <w:r>
        <w:t xml:space="preserve"> i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i </w:t>
      </w:r>
      <w:proofErr w:type="gramStart"/>
      <w:r>
        <w:t>to :</w:t>
      </w:r>
      <w:proofErr w:type="gramEnd"/>
      <w:r>
        <w:t xml:space="preserve"> od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Grožnjan</w:t>
      </w:r>
      <w:proofErr w:type="spellEnd"/>
      <w:r>
        <w:t xml:space="preserve"> 500,00 </w:t>
      </w:r>
      <w:proofErr w:type="spellStart"/>
      <w:r>
        <w:t>eura</w:t>
      </w:r>
      <w:proofErr w:type="spellEnd"/>
      <w:r>
        <w:t xml:space="preserve">, od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Vrsar</w:t>
      </w:r>
      <w:proofErr w:type="spellEnd"/>
      <w:r>
        <w:t xml:space="preserve"> 2.200,00 </w:t>
      </w:r>
      <w:proofErr w:type="spellStart"/>
      <w:r>
        <w:t>eura</w:t>
      </w:r>
      <w:proofErr w:type="spellEnd"/>
      <w:r>
        <w:t xml:space="preserve">, od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Funtana</w:t>
      </w:r>
      <w:proofErr w:type="spellEnd"/>
      <w:r>
        <w:t xml:space="preserve"> 5.000,00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Općine</w:t>
      </w:r>
      <w:proofErr w:type="spellEnd"/>
      <w:r>
        <w:t xml:space="preserve"> Tar </w:t>
      </w:r>
      <w:proofErr w:type="spellStart"/>
      <w:r>
        <w:t>Vabriga</w:t>
      </w:r>
      <w:proofErr w:type="spellEnd"/>
      <w:r>
        <w:t xml:space="preserve"> 10.000,00 </w:t>
      </w:r>
      <w:proofErr w:type="spellStart"/>
      <w:r>
        <w:t>eura</w:t>
      </w:r>
      <w:proofErr w:type="spellEnd"/>
      <w:r>
        <w:t>.</w:t>
      </w:r>
    </w:p>
    <w:p w14:paraId="41AB12EC" w14:textId="77777777" w:rsidR="00142826" w:rsidRDefault="00142826"/>
    <w:p w14:paraId="5B01C2D9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399D95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CD3E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9186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B2F12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989B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5634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EC2A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2AD019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C523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C35D8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A7C2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9D87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1D6B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839DA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643598" w14:textId="77777777" w:rsidR="00142826" w:rsidRDefault="00142826">
      <w:pPr>
        <w:spacing w:after="0"/>
      </w:pPr>
    </w:p>
    <w:p w14:paraId="7B68ADD4" w14:textId="77777777" w:rsidR="00142826" w:rsidRDefault="00000000">
      <w:r>
        <w:t xml:space="preserve">Dom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Novigrad</w:t>
      </w:r>
      <w:proofErr w:type="spellEnd"/>
      <w:r>
        <w:t xml:space="preserve"> </w:t>
      </w:r>
      <w:proofErr w:type="spellStart"/>
      <w:r>
        <w:t>primio</w:t>
      </w:r>
      <w:proofErr w:type="spellEnd"/>
      <w:r>
        <w:t xml:space="preserve"> je </w:t>
      </w:r>
      <w:proofErr w:type="spellStart"/>
      <w:r>
        <w:t>pomoć</w:t>
      </w:r>
      <w:proofErr w:type="spellEnd"/>
      <w:r>
        <w:t xml:space="preserve"> od Grada Buje u </w:t>
      </w:r>
      <w:proofErr w:type="spellStart"/>
      <w:r>
        <w:t>iznosu</w:t>
      </w:r>
      <w:proofErr w:type="spellEnd"/>
      <w:r>
        <w:t xml:space="preserve"> od 35.000,00 </w:t>
      </w:r>
      <w:proofErr w:type="spellStart"/>
      <w:r>
        <w:t>eura</w:t>
      </w:r>
      <w:proofErr w:type="spellEnd"/>
      <w:r>
        <w:t xml:space="preserve"> i od Grada </w:t>
      </w:r>
      <w:proofErr w:type="spellStart"/>
      <w:r>
        <w:t>Novigrada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35.000,00 za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Doma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adaptacije</w:t>
      </w:r>
      <w:proofErr w:type="spellEnd"/>
      <w:r>
        <w:t xml:space="preserve"> i </w:t>
      </w:r>
      <w:proofErr w:type="spellStart"/>
      <w:r>
        <w:t>rekonstrukcije</w:t>
      </w:r>
      <w:proofErr w:type="spellEnd"/>
      <w:r>
        <w:t>.</w:t>
      </w:r>
    </w:p>
    <w:p w14:paraId="79E1A542" w14:textId="77777777" w:rsidR="00142826" w:rsidRDefault="00142826"/>
    <w:p w14:paraId="608DCFEF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50B42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EE08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7CF8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0D13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647A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6A4A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7B192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3C7A4F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C1DD6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16765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pravnih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fizičkih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kapitalnih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6091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D4A1A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0C6D3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85E6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268,4</w:t>
            </w:r>
          </w:p>
        </w:tc>
      </w:tr>
    </w:tbl>
    <w:p w14:paraId="3B455F9D" w14:textId="77777777" w:rsidR="00142826" w:rsidRDefault="00142826">
      <w:pPr>
        <w:spacing w:after="0"/>
      </w:pPr>
    </w:p>
    <w:p w14:paraId="6F71D629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Primljene su kapitalne donacije u iznosu od 12.440,00 eura, a sredstva su utrošena za nabavu nove opreme za redovno poslovanje Doma.</w:t>
      </w:r>
    </w:p>
    <w:p w14:paraId="7D31D1B6" w14:textId="77777777" w:rsidR="00142826" w:rsidRPr="00941E55" w:rsidRDefault="00142826">
      <w:pPr>
        <w:rPr>
          <w:lang w:val="it-IT"/>
        </w:rPr>
      </w:pPr>
    </w:p>
    <w:p w14:paraId="7B4725D4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3DB6D5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339D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DCDE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0318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95E2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F363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FFA0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48502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0C143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2F138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CCEE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B554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1.068.432,00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3764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1.603.580,06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E95A9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14:paraId="465B6494" w14:textId="77777777" w:rsidR="00142826" w:rsidRDefault="00142826">
      <w:pPr>
        <w:spacing w:after="0"/>
      </w:pPr>
    </w:p>
    <w:p w14:paraId="3B2E6B57" w14:textId="77777777" w:rsidR="00142826" w:rsidRDefault="00000000">
      <w:proofErr w:type="spellStart"/>
      <w:r>
        <w:t>Iznos</w:t>
      </w:r>
      <w:proofErr w:type="spellEnd"/>
      <w:r>
        <w:t xml:space="preserve"> od 1.603.580.06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: </w:t>
      </w:r>
      <w:proofErr w:type="spellStart"/>
      <w:r>
        <w:t>decentralizirana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709.738,00 </w:t>
      </w:r>
      <w:proofErr w:type="spellStart"/>
      <w:r>
        <w:t>eura</w:t>
      </w:r>
      <w:proofErr w:type="spellEnd"/>
      <w:r>
        <w:t xml:space="preserve"> (od </w:t>
      </w:r>
      <w:proofErr w:type="spellStart"/>
      <w:r>
        <w:t>čega</w:t>
      </w:r>
      <w:proofErr w:type="spellEnd"/>
      <w:r>
        <w:t xml:space="preserve"> se 483.485,00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206.345,00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i 19.908,00 </w:t>
      </w:r>
      <w:proofErr w:type="spellStart"/>
      <w:r>
        <w:t>hitne</w:t>
      </w:r>
      <w:proofErr w:type="spellEnd"/>
      <w:r>
        <w:t xml:space="preserve"> </w:t>
      </w:r>
      <w:proofErr w:type="spellStart"/>
      <w:r>
        <w:t>intervencije</w:t>
      </w:r>
      <w:proofErr w:type="spellEnd"/>
      <w:r>
        <w:t xml:space="preserve">),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  u </w:t>
      </w:r>
      <w:proofErr w:type="spellStart"/>
      <w:r>
        <w:t>iznosu</w:t>
      </w:r>
      <w:proofErr w:type="spellEnd"/>
      <w:r>
        <w:t xml:space="preserve"> od 668.882,06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i </w:t>
      </w:r>
      <w:proofErr w:type="spellStart"/>
      <w:r>
        <w:t>iznos</w:t>
      </w:r>
      <w:proofErr w:type="spellEnd"/>
      <w:r>
        <w:t xml:space="preserve"> od 135.000,00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metodološkog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ukidanjem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193,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za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53.882,06 </w:t>
      </w:r>
      <w:proofErr w:type="spellStart"/>
      <w:r>
        <w:t>eura</w:t>
      </w:r>
      <w:proofErr w:type="spellEnd"/>
      <w:r>
        <w:t xml:space="preserve">)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129.660,00 </w:t>
      </w:r>
      <w:proofErr w:type="spellStart"/>
      <w:r>
        <w:t>eura</w:t>
      </w:r>
      <w:proofErr w:type="spellEnd"/>
      <w:r>
        <w:t xml:space="preserve"> (od </w:t>
      </w:r>
      <w:proofErr w:type="spellStart"/>
      <w:r>
        <w:t>čega</w:t>
      </w:r>
      <w:proofErr w:type="spellEnd"/>
      <w:r>
        <w:t xml:space="preserve"> 61.660,00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vanjsku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rekonstrukciji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Doma),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8.000,00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za </w:t>
      </w:r>
      <w:proofErr w:type="spellStart"/>
      <w:r>
        <w:t>oboljele</w:t>
      </w:r>
      <w:proofErr w:type="spellEnd"/>
      <w:r>
        <w:t xml:space="preserve"> od </w:t>
      </w:r>
      <w:proofErr w:type="spellStart"/>
      <w:r>
        <w:t>Alzheimerove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demencija</w:t>
      </w:r>
      <w:proofErr w:type="spellEnd"/>
      <w:r>
        <w:t xml:space="preserve"> 45.000,00 </w:t>
      </w:r>
      <w:proofErr w:type="spellStart"/>
      <w:r>
        <w:t>eura</w:t>
      </w:r>
      <w:proofErr w:type="spellEnd"/>
      <w:r>
        <w:t xml:space="preserve"> i 42.300,00 </w:t>
      </w:r>
      <w:proofErr w:type="spellStart"/>
      <w:r>
        <w:t>eura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osiguravanje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>.</w:t>
      </w:r>
    </w:p>
    <w:p w14:paraId="7ED8BFD2" w14:textId="77777777" w:rsidR="00142826" w:rsidRDefault="00142826"/>
    <w:p w14:paraId="5C43C59C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26709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0E84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C009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FE3B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0DB0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F375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AED5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7E9FE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1AEA0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4FC2D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B3232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19EE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AC03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393.937,55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BE65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1165,4</w:t>
            </w:r>
          </w:p>
        </w:tc>
      </w:tr>
    </w:tbl>
    <w:p w14:paraId="573EE526" w14:textId="77777777" w:rsidR="00142826" w:rsidRDefault="00142826">
      <w:pPr>
        <w:spacing w:after="0"/>
      </w:pPr>
    </w:p>
    <w:p w14:paraId="22E9C556" w14:textId="77777777" w:rsidR="00142826" w:rsidRDefault="00000000"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5205 </w:t>
      </w:r>
      <w:proofErr w:type="spellStart"/>
      <w:r>
        <w:t>Kapitalna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DZSO </w:t>
      </w:r>
      <w:proofErr w:type="spellStart"/>
      <w:r>
        <w:t>Novigrad</w:t>
      </w:r>
      <w:proofErr w:type="spellEnd"/>
      <w:r>
        <w:t xml:space="preserve">, </w:t>
      </w:r>
      <w:proofErr w:type="spellStart"/>
      <w:r>
        <w:t>Aktivnost</w:t>
      </w:r>
      <w:proofErr w:type="spellEnd"/>
      <w:r>
        <w:t xml:space="preserve"> K520501 </w:t>
      </w:r>
      <w:proofErr w:type="spellStart"/>
      <w:r>
        <w:t>Adaptacija</w:t>
      </w:r>
      <w:proofErr w:type="spellEnd"/>
      <w:r>
        <w:t xml:space="preserve"> i 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primljen</w:t>
      </w:r>
      <w:proofErr w:type="spellEnd"/>
      <w:r>
        <w:t xml:space="preserve"> je </w:t>
      </w:r>
      <w:proofErr w:type="spellStart"/>
      <w:r>
        <w:t>iznos</w:t>
      </w:r>
      <w:proofErr w:type="spellEnd"/>
      <w:r>
        <w:t xml:space="preserve"> od 295.000,00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adaptaciju</w:t>
      </w:r>
      <w:proofErr w:type="spellEnd"/>
      <w:r>
        <w:t xml:space="preserve"> i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Doma </w:t>
      </w:r>
      <w:proofErr w:type="spellStart"/>
      <w:r>
        <w:lastRenderedPageBreak/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9.1 </w:t>
      </w:r>
      <w:proofErr w:type="spellStart"/>
      <w:r>
        <w:t>Višak</w:t>
      </w:r>
      <w:proofErr w:type="spellEnd"/>
      <w:r>
        <w:t xml:space="preserve"> IŽ,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financirana</w:t>
      </w:r>
      <w:proofErr w:type="spellEnd"/>
      <w:r>
        <w:t xml:space="preserve"> nabava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35.313,00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4.8 </w:t>
      </w:r>
      <w:proofErr w:type="spellStart"/>
      <w:r>
        <w:t>Decentralizirana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je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63.624,55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</w:t>
      </w:r>
      <w:proofErr w:type="spellStart"/>
      <w:r>
        <w:t>Dodana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nefinancijsku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domsku</w:t>
      </w:r>
      <w:proofErr w:type="spellEnd"/>
      <w:r>
        <w:t xml:space="preserve"> </w:t>
      </w:r>
      <w:proofErr w:type="spellStart"/>
      <w:r>
        <w:t>praonicu</w:t>
      </w:r>
      <w:proofErr w:type="spellEnd"/>
      <w:r>
        <w:t xml:space="preserve"> </w:t>
      </w:r>
      <w:proofErr w:type="spellStart"/>
      <w:r>
        <w:t>rublja</w:t>
      </w:r>
      <w:proofErr w:type="spellEnd"/>
      <w:r>
        <w:t xml:space="preserve"> </w:t>
      </w:r>
      <w:proofErr w:type="spellStart"/>
      <w:r>
        <w:t>budući</w:t>
      </w:r>
      <w:proofErr w:type="spellEnd"/>
      <w:r>
        <w:t xml:space="preserve"> da je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(</w:t>
      </w:r>
      <w:proofErr w:type="spellStart"/>
      <w:r>
        <w:t>poplave</w:t>
      </w:r>
      <w:proofErr w:type="spellEnd"/>
      <w:r>
        <w:t xml:space="preserve">)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uništenja</w:t>
      </w:r>
      <w:proofErr w:type="spellEnd"/>
      <w:r>
        <w:t xml:space="preserve">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opreme</w:t>
      </w:r>
      <w:proofErr w:type="spellEnd"/>
      <w:r>
        <w:t>.</w:t>
      </w:r>
    </w:p>
    <w:p w14:paraId="7D44489C" w14:textId="77777777" w:rsidR="00142826" w:rsidRDefault="00142826"/>
    <w:p w14:paraId="3FA276BE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10C5D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2A6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22B1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B80CC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8E67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EC46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103A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67CC19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E4B3A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8A4AB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2219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F862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1.545.943,99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A805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1.919.924,62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BC68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1BF5C2FA" w14:textId="77777777" w:rsidR="00142826" w:rsidRDefault="00142826">
      <w:pPr>
        <w:spacing w:after="0"/>
      </w:pPr>
    </w:p>
    <w:p w14:paraId="3E45C185" w14:textId="77777777" w:rsidR="00142826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unutar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knjiženo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13 </w:t>
      </w:r>
      <w:proofErr w:type="spellStart"/>
      <w:r>
        <w:t>mjesečnih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i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193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151DD6D9" w14:textId="77777777" w:rsidR="00142826" w:rsidRDefault="00142826"/>
    <w:p w14:paraId="34C7F9E8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4B6B0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B002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1EA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ECCF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96FC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1F58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59D9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6A23D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7AD4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09839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CAB75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A7EC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F230B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533.727,20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002A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730,0</w:t>
            </w:r>
          </w:p>
        </w:tc>
      </w:tr>
    </w:tbl>
    <w:p w14:paraId="7CA5B4FE" w14:textId="77777777" w:rsidR="00142826" w:rsidRDefault="00142826">
      <w:pPr>
        <w:spacing w:after="0"/>
      </w:pPr>
    </w:p>
    <w:p w14:paraId="7C1D70A7" w14:textId="77777777" w:rsidR="00142826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adaptacije</w:t>
      </w:r>
      <w:proofErr w:type="spellEnd"/>
      <w:r>
        <w:t xml:space="preserve"> i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Doma,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praonicu</w:t>
      </w:r>
      <w:proofErr w:type="spellEnd"/>
      <w:r>
        <w:t xml:space="preserve"> Doma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uništenja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(</w:t>
      </w:r>
      <w:proofErr w:type="spellStart"/>
      <w:r>
        <w:t>poplave</w:t>
      </w:r>
      <w:proofErr w:type="spellEnd"/>
      <w:r>
        <w:t>).</w:t>
      </w:r>
    </w:p>
    <w:p w14:paraId="1077A497" w14:textId="77777777" w:rsidR="00142826" w:rsidRDefault="00142826"/>
    <w:p w14:paraId="58F1FA50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72B254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CB78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8FE6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35DED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717A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3313E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4EDC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0C339E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6DD24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E90C3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444C7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F927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3733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6F7F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56E05E" w14:textId="77777777" w:rsidR="00142826" w:rsidRDefault="00142826">
      <w:pPr>
        <w:spacing w:after="0"/>
      </w:pPr>
    </w:p>
    <w:p w14:paraId="26EA466B" w14:textId="77777777" w:rsidR="00142826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24.523,50 po </w:t>
      </w:r>
      <w:proofErr w:type="spellStart"/>
      <w:r>
        <w:t>izvoru</w:t>
      </w:r>
      <w:proofErr w:type="spellEnd"/>
      <w:r>
        <w:t xml:space="preserve"> 4.7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26.223,44 </w:t>
      </w:r>
      <w:proofErr w:type="spellStart"/>
      <w:r>
        <w:t>eura</w:t>
      </w:r>
      <w:proofErr w:type="spellEnd"/>
      <w:r>
        <w:t xml:space="preserve"> po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izvoru</w:t>
      </w:r>
      <w:proofErr w:type="spellEnd"/>
      <w:r>
        <w:t>.</w:t>
      </w:r>
    </w:p>
    <w:p w14:paraId="049C3717" w14:textId="77777777" w:rsidR="00142826" w:rsidRDefault="00142826"/>
    <w:p w14:paraId="77FA1404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7C4AC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ED32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7D9E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E94F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55D6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C657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DA9E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7A987E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DB34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4C3D4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i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nenaplaćeni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9659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B604B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A029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23.429,10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384C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220,9</w:t>
            </w:r>
          </w:p>
        </w:tc>
      </w:tr>
    </w:tbl>
    <w:p w14:paraId="47327E41" w14:textId="77777777" w:rsidR="00142826" w:rsidRDefault="00142826">
      <w:pPr>
        <w:spacing w:after="0"/>
      </w:pPr>
    </w:p>
    <w:p w14:paraId="772270A2" w14:textId="77777777" w:rsidR="00142826" w:rsidRDefault="00000000"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i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23.429,10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za </w:t>
      </w:r>
      <w:proofErr w:type="spellStart"/>
      <w:r>
        <w:t>opskrbnine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10.941,10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i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2.488,00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10.000,00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zatvorena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7F47DBB4" w14:textId="77777777" w:rsidR="00142826" w:rsidRDefault="00142826"/>
    <w:p w14:paraId="02C4751E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1041B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DA29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588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7B2BE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1075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3E9D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F281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6EA1E2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851BB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43A45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pokriće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sljedećem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Y005 + '9222-9221' - X005 - '9221-9222</w:t>
            </w:r>
            <w:proofErr w:type="gramStart"/>
            <w:r>
              <w:rPr>
                <w:sz w:val="18"/>
              </w:rPr>
              <w:t>' )</w:t>
            </w:r>
            <w:proofErr w:type="gram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C198C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CD75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E0963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ADA3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</w:t>
            </w:r>
          </w:p>
        </w:tc>
      </w:tr>
    </w:tbl>
    <w:p w14:paraId="5378016E" w14:textId="77777777" w:rsidR="00142826" w:rsidRDefault="00142826">
      <w:pPr>
        <w:spacing w:after="0"/>
      </w:pPr>
    </w:p>
    <w:p w14:paraId="3DDBBBCB" w14:textId="77777777" w:rsidR="00142826" w:rsidRDefault="00000000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1.699,94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se u </w:t>
      </w:r>
      <w:proofErr w:type="spellStart"/>
      <w:r>
        <w:t>iduće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gramStart"/>
      <w:r>
        <w:t>i bit</w:t>
      </w:r>
      <w:proofErr w:type="gram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pokriven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4.7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>.</w:t>
      </w:r>
    </w:p>
    <w:p w14:paraId="31C024A0" w14:textId="77777777" w:rsidR="00142826" w:rsidRDefault="00142826"/>
    <w:p w14:paraId="3349EBB6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35E479F0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5E8E4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6B75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4658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920CD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C2A12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6C6F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B9DB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306F1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B0793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E491A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734D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350D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1.287.471,74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0D9B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1.747.513,35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D0F4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320FF1DC" w14:textId="77777777" w:rsidR="00142826" w:rsidRDefault="00142826">
      <w:pPr>
        <w:spacing w:after="0"/>
      </w:pPr>
    </w:p>
    <w:p w14:paraId="28BE638F" w14:textId="77777777" w:rsidR="00142826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adaptaciju</w:t>
      </w:r>
      <w:proofErr w:type="spellEnd"/>
      <w:r>
        <w:t xml:space="preserve">, </w:t>
      </w:r>
      <w:proofErr w:type="spellStart"/>
      <w:r>
        <w:t>rekonstrukciju</w:t>
      </w:r>
      <w:proofErr w:type="spellEnd"/>
      <w:r>
        <w:t xml:space="preserve"> i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Doma,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praonicu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uništena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.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je </w:t>
      </w:r>
      <w:proofErr w:type="spellStart"/>
      <w:r>
        <w:t>krajem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time i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oprema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uvrštena</w:t>
      </w:r>
      <w:proofErr w:type="spellEnd"/>
      <w:r>
        <w:t xml:space="preserve"> u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>. </w:t>
      </w:r>
    </w:p>
    <w:p w14:paraId="2AFE283D" w14:textId="77777777" w:rsidR="00142826" w:rsidRDefault="00142826"/>
    <w:p w14:paraId="735A63FB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288B5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A7A62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5F88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B9D9E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AA30C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DC55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9A85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0F990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FC51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9E2FE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614F8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F611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72.660,75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D421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201.884,27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E55A8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277,8</w:t>
            </w:r>
          </w:p>
        </w:tc>
      </w:tr>
    </w:tbl>
    <w:p w14:paraId="7D0BEDBE" w14:textId="77777777" w:rsidR="00142826" w:rsidRDefault="00142826">
      <w:pPr>
        <w:spacing w:after="0"/>
      </w:pPr>
    </w:p>
    <w:p w14:paraId="4DAC8CFB" w14:textId="77777777" w:rsidR="00142826" w:rsidRDefault="00000000">
      <w:proofErr w:type="spellStart"/>
      <w:r>
        <w:t>Iznos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osnivača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pokriće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time </w:t>
      </w:r>
      <w:proofErr w:type="spellStart"/>
      <w:r>
        <w:t>ujedno</w:t>
      </w:r>
      <w:proofErr w:type="spellEnd"/>
      <w:r>
        <w:t xml:space="preserve"> i </w:t>
      </w:r>
      <w:proofErr w:type="spellStart"/>
      <w:r>
        <w:t>pokriven</w:t>
      </w:r>
      <w:proofErr w:type="spellEnd"/>
      <w:r>
        <w:t xml:space="preserve">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ukidanjem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193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6FA955DE" w14:textId="77777777" w:rsidR="00142826" w:rsidRDefault="00142826"/>
    <w:p w14:paraId="4E5019F0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2FCC1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FE26D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E726D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878C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DE7B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068F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6EE9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51371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3D82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E784C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9CDCE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93BA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1DA5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23.429,10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14A2A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220,9</w:t>
            </w:r>
          </w:p>
        </w:tc>
      </w:tr>
    </w:tbl>
    <w:p w14:paraId="48CD082C" w14:textId="77777777" w:rsidR="00142826" w:rsidRDefault="00142826">
      <w:pPr>
        <w:spacing w:after="0"/>
      </w:pPr>
    </w:p>
    <w:p w14:paraId="7CBF53C0" w14:textId="77777777" w:rsidR="00142826" w:rsidRDefault="00000000"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i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23.429,10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za </w:t>
      </w:r>
      <w:proofErr w:type="spellStart"/>
      <w:r>
        <w:t>opskrbnine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10.941,10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vanjske</w:t>
      </w:r>
      <w:proofErr w:type="spellEnd"/>
      <w:r>
        <w:t xml:space="preserve"> </w:t>
      </w:r>
      <w:proofErr w:type="spellStart"/>
      <w:r>
        <w:t>obroke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2.488,00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10.000,00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zatvorena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52FCEFCC" w14:textId="77777777" w:rsidR="00142826" w:rsidRDefault="00142826"/>
    <w:p w14:paraId="4C885979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5CB773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D542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2CDF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4362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D48B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B34D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54A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4CF042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827A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719A0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ED9A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1B7C9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236.111,68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4701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DD70F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14:paraId="3823B4C2" w14:textId="77777777" w:rsidR="00142826" w:rsidRDefault="00142826">
      <w:pPr>
        <w:spacing w:after="0"/>
      </w:pPr>
    </w:p>
    <w:p w14:paraId="4CDA58DB" w14:textId="77777777" w:rsidR="00142826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204.612,53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,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i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147.356,28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dobavljačima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55.505,80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od 424,32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račun</w:t>
      </w:r>
      <w:proofErr w:type="spellEnd"/>
      <w:r>
        <w:t xml:space="preserve"> IKB </w:t>
      </w:r>
      <w:proofErr w:type="spellStart"/>
      <w:r>
        <w:t>d.d.</w:t>
      </w:r>
      <w:proofErr w:type="spellEnd"/>
      <w:r>
        <w:t xml:space="preserve"> za 12/25),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PK za </w:t>
      </w:r>
      <w:proofErr w:type="spellStart"/>
      <w:r>
        <w:t>povrat</w:t>
      </w:r>
      <w:proofErr w:type="spellEnd"/>
      <w:r>
        <w:t xml:space="preserve"> u proračun u </w:t>
      </w:r>
      <w:proofErr w:type="spellStart"/>
      <w:r>
        <w:t>iznosu</w:t>
      </w:r>
      <w:proofErr w:type="spellEnd"/>
      <w:r>
        <w:t xml:space="preserve"> od 1.326,13 </w:t>
      </w:r>
      <w:proofErr w:type="spellStart"/>
      <w:r>
        <w:t>eura</w:t>
      </w:r>
      <w:proofErr w:type="spellEnd"/>
      <w:r>
        <w:t>.</w:t>
      </w:r>
      <w:r>
        <w:br/>
        <w:t xml:space="preserve">Na dan 31.12.2025. </w:t>
      </w:r>
      <w:proofErr w:type="spellStart"/>
      <w:r>
        <w:t>godine</w:t>
      </w:r>
      <w:proofErr w:type="spellEnd"/>
      <w:r>
        <w:t xml:space="preserve"> DZSO </w:t>
      </w:r>
      <w:proofErr w:type="spellStart"/>
      <w:r>
        <w:t>Novigrad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, 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zatvaraju</w:t>
      </w:r>
      <w:proofErr w:type="spell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i </w:t>
      </w:r>
      <w:proofErr w:type="spellStart"/>
      <w:r>
        <w:t>veljače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dospjelosti</w:t>
      </w:r>
      <w:proofErr w:type="spellEnd"/>
      <w:r>
        <w:t>.          </w:t>
      </w:r>
    </w:p>
    <w:p w14:paraId="6F8FB65A" w14:textId="77777777" w:rsidR="00142826" w:rsidRDefault="00142826"/>
    <w:p w14:paraId="77539101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4F975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ECC5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33FD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4E11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BFC0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FAB9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6E26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133204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6DD92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F30C3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E7319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239C9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F943B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13.145,64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8ED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D05B8E" w14:textId="77777777" w:rsidR="00142826" w:rsidRDefault="00142826">
      <w:pPr>
        <w:spacing w:after="0"/>
      </w:pPr>
    </w:p>
    <w:p w14:paraId="54550B1C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Iznos od 13.145,64 eura odnosi se na nedospjele obveze po računima za nabavljenu opremu.</w:t>
      </w:r>
    </w:p>
    <w:p w14:paraId="5D9817AC" w14:textId="77777777" w:rsidR="00142826" w:rsidRPr="00941E55" w:rsidRDefault="00142826">
      <w:pPr>
        <w:rPr>
          <w:lang w:val="it-IT"/>
        </w:rPr>
      </w:pPr>
    </w:p>
    <w:p w14:paraId="2ED1195F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36B14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71CF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F063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D9D8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13D6E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625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F014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535D3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B904B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0B729F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934B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96E50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-26.223,44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9AE54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-1.699,94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1C05B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</w:t>
            </w:r>
          </w:p>
        </w:tc>
      </w:tr>
    </w:tbl>
    <w:p w14:paraId="39E7E162" w14:textId="77777777" w:rsidR="00142826" w:rsidRDefault="00142826">
      <w:pPr>
        <w:spacing w:after="0"/>
      </w:pPr>
    </w:p>
    <w:p w14:paraId="0FBE49BE" w14:textId="77777777" w:rsidR="00142826" w:rsidRDefault="00000000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proofErr w:type="gramStart"/>
      <w:r>
        <w:t>1.699,94 bit</w:t>
      </w:r>
      <w:proofErr w:type="gram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pokriven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budućeg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po </w:t>
      </w:r>
      <w:proofErr w:type="spellStart"/>
      <w:r>
        <w:t>Izvoru</w:t>
      </w:r>
      <w:proofErr w:type="spellEnd"/>
      <w:r>
        <w:t xml:space="preserve"> 4.7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>.</w:t>
      </w:r>
    </w:p>
    <w:p w14:paraId="121FA909" w14:textId="77777777" w:rsidR="00142826" w:rsidRDefault="00142826"/>
    <w:p w14:paraId="63A47BC9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063BF6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DACB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84C3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FA78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9C01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A8C4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4E89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73C6D9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6BE74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54EA4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6D5F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C918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10.349,87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86FA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81.873,15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FC0D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791,1</w:t>
            </w:r>
          </w:p>
        </w:tc>
      </w:tr>
    </w:tbl>
    <w:p w14:paraId="2E9D1B3B" w14:textId="77777777" w:rsidR="00142826" w:rsidRDefault="00142826">
      <w:pPr>
        <w:spacing w:after="0"/>
      </w:pPr>
    </w:p>
    <w:p w14:paraId="5C2A76FB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Provedena je korekcija rezultata nakon koje višak prihoda i primitaka iznosi 81.973,15.</w:t>
      </w:r>
    </w:p>
    <w:p w14:paraId="64235F23" w14:textId="77777777" w:rsidR="00142826" w:rsidRPr="00941E55" w:rsidRDefault="00142826">
      <w:pPr>
        <w:rPr>
          <w:lang w:val="it-IT"/>
        </w:rPr>
      </w:pPr>
    </w:p>
    <w:p w14:paraId="3C05A765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60AC33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393D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AE01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B569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35C1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04A6E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4054D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5F997D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907C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D6D30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28DDF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99023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36.573,31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B465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83.573,09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53C5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228,5</w:t>
            </w:r>
          </w:p>
        </w:tc>
      </w:tr>
    </w:tbl>
    <w:p w14:paraId="1E7D45D3" w14:textId="77777777" w:rsidR="00142826" w:rsidRDefault="00142826">
      <w:pPr>
        <w:spacing w:after="0"/>
      </w:pPr>
    </w:p>
    <w:p w14:paraId="46EC6347" w14:textId="77777777" w:rsidR="00142826" w:rsidRDefault="00000000">
      <w:proofErr w:type="spellStart"/>
      <w:r>
        <w:t>Nakon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83.573,09 </w:t>
      </w:r>
      <w:proofErr w:type="spellStart"/>
      <w:r>
        <w:t>eura</w:t>
      </w:r>
      <w:proofErr w:type="spellEnd"/>
      <w:r>
        <w:t>. </w:t>
      </w:r>
    </w:p>
    <w:p w14:paraId="75A97A66" w14:textId="77777777" w:rsidR="00142826" w:rsidRDefault="00142826"/>
    <w:p w14:paraId="01C99292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5445B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893B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81240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FD4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0CF4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CABC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63114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45E1A4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DB55E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3A261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povrat</w:t>
            </w:r>
            <w:proofErr w:type="spellEnd"/>
            <w:r>
              <w:rPr>
                <w:sz w:val="18"/>
              </w:rPr>
              <w:t xml:space="preserve">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924CD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5A3D7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B4101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98B4C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6F82D5" w14:textId="77777777" w:rsidR="00142826" w:rsidRDefault="00142826">
      <w:pPr>
        <w:spacing w:after="0"/>
      </w:pPr>
    </w:p>
    <w:p w14:paraId="5CFB0D27" w14:textId="77777777" w:rsidR="00142826" w:rsidRDefault="00000000">
      <w:proofErr w:type="spellStart"/>
      <w:r>
        <w:t>Iznos</w:t>
      </w:r>
      <w:proofErr w:type="spellEnd"/>
      <w:r>
        <w:t xml:space="preserve"> od 1.326,13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uplaćenu</w:t>
      </w:r>
      <w:proofErr w:type="spellEnd"/>
      <w:r>
        <w:t xml:space="preserve"> </w:t>
      </w:r>
      <w:proofErr w:type="spellStart"/>
      <w:r>
        <w:t>akontaciju</w:t>
      </w:r>
      <w:proofErr w:type="spellEnd"/>
      <w:r>
        <w:t xml:space="preserve"> za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povrat</w:t>
      </w:r>
      <w:proofErr w:type="spellEnd"/>
      <w:r>
        <w:t xml:space="preserve"> je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2634810A" w14:textId="77777777" w:rsidR="00142826" w:rsidRDefault="00142826"/>
    <w:p w14:paraId="47471760" w14:textId="77777777" w:rsidR="00142826" w:rsidRPr="00941E55" w:rsidRDefault="00000000">
      <w:pPr>
        <w:keepNext/>
        <w:spacing w:line="240" w:lineRule="auto"/>
        <w:jc w:val="center"/>
        <w:rPr>
          <w:lang w:val="it-IT"/>
        </w:rPr>
      </w:pPr>
      <w:r w:rsidRPr="00941E55">
        <w:rPr>
          <w:b/>
          <w:sz w:val="28"/>
          <w:lang w:val="it-IT"/>
        </w:rPr>
        <w:t>Promjene u vrijednosti i obujmu imovine i obveza</w:t>
      </w:r>
    </w:p>
    <w:p w14:paraId="0D58A74D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2826" w14:paraId="70429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6FE4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CFD1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5545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1C8D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329F7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DA93F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6996CD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E4C76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833FD" w14:textId="77777777" w:rsidR="00142826" w:rsidRPr="00941E55" w:rsidRDefault="00000000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941E55">
              <w:rPr>
                <w:sz w:val="18"/>
                <w:lang w:val="it-IT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F6B0B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A61D5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8043D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73.685,59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78C86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685C0A" w14:textId="77777777" w:rsidR="00142826" w:rsidRDefault="00142826">
      <w:pPr>
        <w:spacing w:after="0"/>
      </w:pPr>
    </w:p>
    <w:p w14:paraId="139FC746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Iznos od 73.685,59 eura odnosi se na provedeni godišnji ispravak vrijednosti imovine za 2025. godinu.</w:t>
      </w:r>
    </w:p>
    <w:p w14:paraId="73AC8186" w14:textId="77777777" w:rsidR="00142826" w:rsidRPr="00941E55" w:rsidRDefault="00142826">
      <w:pPr>
        <w:rPr>
          <w:lang w:val="it-IT"/>
        </w:rPr>
      </w:pPr>
    </w:p>
    <w:p w14:paraId="3BF1DB41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487523E8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42826" w14:paraId="00076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F4635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551AC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AF4F8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4C4D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0DBA6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2E75A6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E7360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CE837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57241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CED39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573BB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804C1E" w14:textId="77777777" w:rsidR="00142826" w:rsidRDefault="00142826">
      <w:pPr>
        <w:spacing w:after="0"/>
      </w:pPr>
    </w:p>
    <w:p w14:paraId="3EF504C6" w14:textId="77777777" w:rsidR="00142826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204.612,53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,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topli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i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147.356,28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dobavljačima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55.505,80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od 424,32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račun</w:t>
      </w:r>
      <w:proofErr w:type="spellEnd"/>
      <w:r>
        <w:t xml:space="preserve"> IKB </w:t>
      </w:r>
      <w:proofErr w:type="spellStart"/>
      <w:r>
        <w:t>d.d.</w:t>
      </w:r>
      <w:proofErr w:type="spellEnd"/>
      <w:r>
        <w:t xml:space="preserve"> za 12/25),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PK za </w:t>
      </w:r>
      <w:proofErr w:type="spellStart"/>
      <w:r>
        <w:t>povrat</w:t>
      </w:r>
      <w:proofErr w:type="spellEnd"/>
      <w:r>
        <w:t xml:space="preserve"> u proračun u </w:t>
      </w:r>
      <w:proofErr w:type="spellStart"/>
      <w:r>
        <w:t>iznosu</w:t>
      </w:r>
      <w:proofErr w:type="spellEnd"/>
      <w:r>
        <w:t xml:space="preserve"> od 1.326,13 </w:t>
      </w:r>
      <w:proofErr w:type="spellStart"/>
      <w:r>
        <w:t>eura</w:t>
      </w:r>
      <w:proofErr w:type="spellEnd"/>
      <w:r>
        <w:t>.</w:t>
      </w:r>
    </w:p>
    <w:p w14:paraId="58C4ECBB" w14:textId="77777777" w:rsidR="00142826" w:rsidRDefault="00142826"/>
    <w:p w14:paraId="15BAA2BE" w14:textId="77777777" w:rsidR="00142826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42826" w14:paraId="5604E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2209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8812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01953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862AA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E19B" w14:textId="77777777" w:rsidR="00142826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142826" w14:paraId="5CD754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2E0A6" w14:textId="77777777" w:rsidR="00142826" w:rsidRDefault="0014282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106E4" w14:textId="77777777" w:rsidR="0014282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2105A" w14:textId="77777777" w:rsidR="0014282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A1706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22236" w14:textId="77777777" w:rsidR="0014282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C12A4E" w14:textId="77777777" w:rsidR="00142826" w:rsidRDefault="00142826">
      <w:pPr>
        <w:spacing w:after="0"/>
      </w:pPr>
    </w:p>
    <w:p w14:paraId="4C80BE2A" w14:textId="77777777" w:rsidR="00142826" w:rsidRPr="00941E55" w:rsidRDefault="00000000">
      <w:pPr>
        <w:rPr>
          <w:lang w:val="it-IT"/>
        </w:rPr>
      </w:pPr>
      <w:r w:rsidRPr="00941E55">
        <w:rPr>
          <w:lang w:val="it-IT"/>
        </w:rPr>
        <w:t>Dom za starije osobe Novigrad na dan 31.12.2025 godine nema dospjelih obveza.</w:t>
      </w:r>
    </w:p>
    <w:p w14:paraId="020C2435" w14:textId="77777777" w:rsidR="00142826" w:rsidRPr="00941E55" w:rsidRDefault="00142826">
      <w:pPr>
        <w:rPr>
          <w:lang w:val="it-IT"/>
        </w:rPr>
      </w:pPr>
    </w:p>
    <w:sectPr w:rsidR="00142826" w:rsidRPr="00941E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6"/>
    <w:rsid w:val="00142826"/>
    <w:rsid w:val="002772E7"/>
    <w:rsid w:val="009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9F89"/>
  <w15:docId w15:val="{1E630EC1-0AC7-4939-A575-C59AD372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2227</Words>
  <Characters>12699</Characters>
  <Application>Microsoft Office Word</Application>
  <DocSecurity>0</DocSecurity>
  <Lines>105</Lines>
  <Paragraphs>29</Paragraphs>
  <ScaleCrop>false</ScaleCrop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Korisnik518</dc:creator>
  <cp:lastModifiedBy>Računovodstvo</cp:lastModifiedBy>
  <cp:revision>2</cp:revision>
  <dcterms:created xsi:type="dcterms:W3CDTF">2026-01-30T16:53:00Z</dcterms:created>
  <dcterms:modified xsi:type="dcterms:W3CDTF">2026-01-30T16:53:00Z</dcterms:modified>
</cp:coreProperties>
</file>